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6C9B1D" w14:textId="77777777" w:rsidR="00373551" w:rsidRDefault="00373551">
      <w:pPr>
        <w:pStyle w:val="Title"/>
        <w:rPr>
          <w:b/>
          <w:i/>
        </w:rPr>
      </w:pPr>
      <w:r>
        <w:rPr>
          <w:rStyle w:val="Emphasis"/>
          <w:b/>
          <w:i w:val="0"/>
        </w:rPr>
        <w:t>Success in the Conceptual Age: Another Paradigm Shift</w:t>
      </w:r>
    </w:p>
    <w:p w14:paraId="18B9CC2D" w14:textId="77777777" w:rsidR="00373551" w:rsidRDefault="00373551">
      <w:pPr>
        <w:jc w:val="center"/>
      </w:pPr>
    </w:p>
    <w:p w14:paraId="34B4775D" w14:textId="77777777" w:rsidR="00484780" w:rsidRDefault="00484780">
      <w:pPr>
        <w:pStyle w:val="Title"/>
        <w:jc w:val="left"/>
        <w:sectPr w:rsidR="00484780">
          <w:pgSz w:w="12240" w:h="15840"/>
          <w:pgMar w:top="1440" w:right="1440" w:bottom="1440" w:left="1440" w:header="720" w:footer="720" w:gutter="0"/>
          <w:cols w:space="720"/>
        </w:sectPr>
      </w:pPr>
    </w:p>
    <w:p w14:paraId="1D2C4D14" w14:textId="77777777" w:rsidR="00373551" w:rsidRDefault="00373551">
      <w:pPr>
        <w:pStyle w:val="Title"/>
        <w:jc w:val="left"/>
        <w:rPr>
          <w:rStyle w:val="Emphasis"/>
          <w:i w:val="0"/>
        </w:rPr>
      </w:pPr>
    </w:p>
    <w:p w14:paraId="27DA8661" w14:textId="77777777" w:rsidR="00866D7C" w:rsidRDefault="00866D7C">
      <w:pPr>
        <w:pStyle w:val="Title"/>
        <w:jc w:val="left"/>
        <w:rPr>
          <w:rStyle w:val="Emphasis"/>
        </w:rPr>
        <w:sectPr w:rsidR="00866D7C" w:rsidSect="00484780">
          <w:type w:val="continuous"/>
          <w:pgSz w:w="12240" w:h="15840"/>
          <w:pgMar w:top="1440" w:right="1440" w:bottom="1440" w:left="1440" w:header="720" w:footer="720" w:gutter="0"/>
          <w:cols w:sep="1" w:space="720"/>
        </w:sectPr>
      </w:pPr>
    </w:p>
    <w:p w14:paraId="4795AFB6" w14:textId="02879E8F" w:rsidR="00373551" w:rsidRDefault="00373551">
      <w:pPr>
        <w:pStyle w:val="Title"/>
        <w:jc w:val="left"/>
        <w:rPr>
          <w:rStyle w:val="Emphasis"/>
        </w:rPr>
      </w:pPr>
      <w:r>
        <w:rPr>
          <w:rStyle w:val="Emphasis"/>
        </w:rPr>
        <w:t>Just as everyone has begun to understand the demands of the Information Age, several authors propose another paradigm shift, identified by Pink (2005), as the Conceptual Age. This paper provides an overview of the trends that encompass this shift, some suggestions regarding the necessary knowledge, attitudes, and skills necessary for success in this new age, and the implications for schools and other social institutions as they help prepare children and youth for success in the 21</w:t>
      </w:r>
      <w:r>
        <w:rPr>
          <w:rStyle w:val="Emphasis"/>
          <w:vertAlign w:val="superscript"/>
        </w:rPr>
        <w:t>st</w:t>
      </w:r>
      <w:r>
        <w:rPr>
          <w:rStyle w:val="Emphasis"/>
        </w:rPr>
        <w:t xml:space="preserve"> century.</w:t>
      </w:r>
    </w:p>
    <w:p w14:paraId="5482C2D7" w14:textId="77777777" w:rsidR="00373551" w:rsidRDefault="00373551">
      <w:pPr>
        <w:pStyle w:val="Title"/>
        <w:rPr>
          <w:rStyle w:val="Emphasis"/>
          <w:i w:val="0"/>
        </w:rPr>
      </w:pPr>
    </w:p>
    <w:p w14:paraId="37799742" w14:textId="0A53F7D1" w:rsidR="00373551" w:rsidRDefault="00373551">
      <w:pPr>
        <w:ind w:firstLine="720"/>
      </w:pPr>
      <w:r>
        <w:t>One of the primary functions of schooling is to prepare children and youth for adult success. However, as social and cultural changes occur, especially on a global level, so do the requirements for accomplishment. In the last 150 years, the American society has moved from an economy focused on growing products and making things to one of service and information processing (Naisbitt, 1982; Toffler, 1981, 1990). Huitt (1999a) summarized the major trends and megatrends associated with the Information Age and their implications for preparing children and youth for the 21</w:t>
      </w:r>
      <w:r>
        <w:rPr>
          <w:vertAlign w:val="superscript"/>
        </w:rPr>
        <w:t>st</w:t>
      </w:r>
      <w:r>
        <w:t xml:space="preserve"> century. Now, less than a decade into the century, Pink (2005) proposes that humankind is headed into a new age, the Conceptual Age, having strong implications for desired knowledge, attitudes, and skills. Handy (1990) anticipated this shift with a call for “upside-down” thinking to cope with a pattern</w:t>
      </w:r>
      <w:r w:rsidR="00484780">
        <w:t xml:space="preserve"> </w:t>
      </w:r>
      <w:r>
        <w:t>less, discontinuous post-modern world. Kurzweil (1999) concludes these socio-cultural changes are unlikely to slow down anytime soon. In fact, he suggests that there will be as much change in the first quarter century as there was in the entire last century.</w:t>
      </w:r>
    </w:p>
    <w:p w14:paraId="4EACA10F" w14:textId="77777777" w:rsidR="00373551" w:rsidRDefault="00373551">
      <w:pPr>
        <w:ind w:firstLine="720"/>
      </w:pPr>
    </w:p>
    <w:p w14:paraId="4FAB8D5F" w14:textId="77777777" w:rsidR="00373551" w:rsidRPr="00AA6007" w:rsidRDefault="00373551">
      <w:pPr>
        <w:rPr>
          <w:b/>
        </w:rPr>
      </w:pPr>
      <w:r w:rsidRPr="00AA6007">
        <w:rPr>
          <w:b/>
        </w:rPr>
        <w:t>The Tools of Change</w:t>
      </w:r>
    </w:p>
    <w:p w14:paraId="035B55F3" w14:textId="77777777" w:rsidR="00373551" w:rsidRDefault="00373551">
      <w:pPr>
        <w:ind w:firstLine="720"/>
      </w:pPr>
    </w:p>
    <w:p w14:paraId="61FCF5FC" w14:textId="77777777" w:rsidR="00373551" w:rsidRDefault="00373551">
      <w:pPr>
        <w:ind w:firstLine="720"/>
      </w:pPr>
      <w:proofErr w:type="spellStart"/>
      <w:r>
        <w:t>Pilzer</w:t>
      </w:r>
      <w:proofErr w:type="spellEnd"/>
      <w:r>
        <w:t xml:space="preserve"> (1990) believes that a primary force behind these changes is the speed of technological development. Human society has long depended on the use of tools and technology. In the hunter/gatherer age, lasting tens of thousands of years, the knife, the spear, the bow and arrow, etc. provided the means of success. In the agricultural age, lasting thousands of years, the hoe, the plow, the tractor, and the harvester provided a similar foundation. In the industrial age, lasting hundreds of years, it was the factory, with standardized means of production, as well as ready access to resources, capital, and markets that were the keys to wealth and power. In each age, those individuals or social institutions that acquired the characteristics and resources necessary to take advantage of the new sources of wealth were able to enjoy a new standard of material living and social interaction. And now, just decades into the information age, it seems another profound change is occurring.</w:t>
      </w:r>
    </w:p>
    <w:p w14:paraId="4075B2EB" w14:textId="77777777" w:rsidR="00373551" w:rsidRDefault="00373551">
      <w:pPr>
        <w:ind w:firstLine="720"/>
      </w:pPr>
      <w:r>
        <w:t xml:space="preserve">Notice that the time line for the transition to a new age is dramatically shorter with each paradigm shift. Dent (2004, 2006) discusses how each change, be it a paradigm shift or the adoption of a new product, follows a cumulative distribution curve, called an “S” curve. The time it takes from inception until the early adopters, or first 10 percent, make the shift is equivalent to the time it takes to go from 10 percent to 90 percent adoption. Looked at another way, 80 percent of the change occurs in just 20 percent of the time. This is called the Pareto principle or 80/20 rule (Koch, 1999) and dates from the work of Vilfredo Pareto, a nineteenth century sociologist, economist, and philosopher. This principle is based on an exponential </w:t>
      </w:r>
      <w:r>
        <w:lastRenderedPageBreak/>
        <w:t xml:space="preserve">growth function that is difficult to discern when it occurs over thousands or even hundreds of years, but is self-evident when it occurs over decades or even shorter periods. </w:t>
      </w:r>
    </w:p>
    <w:p w14:paraId="7E5DAA33" w14:textId="77777777" w:rsidR="00373551" w:rsidRDefault="00373551">
      <w:pPr>
        <w:ind w:firstLine="720"/>
      </w:pPr>
      <w:r>
        <w:t xml:space="preserve">One might propose that Charles Babbage’s work on the Difference and Analytical machines in the 1820’s was the beginning of the computer and information age. Or perhaps the first use of the telegram on </w:t>
      </w:r>
      <w:smartTag w:uri="urn:schemas-microsoft-com:office:smarttags" w:element="date">
        <w:smartTagPr>
          <w:attr w:name="Month" w:val="5"/>
          <w:attr w:name="Day" w:val="24"/>
          <w:attr w:name="Year" w:val="1844"/>
        </w:smartTagPr>
        <w:r>
          <w:t>May 24, 1844</w:t>
        </w:r>
      </w:smartTag>
      <w:r>
        <w:t xml:space="preserve">, when Samuel Morse sent a message consisting of a series of dots and dashes from </w:t>
      </w:r>
      <w:smartTag w:uri="urn:schemas-microsoft-com:office:smarttags" w:element="City">
        <w:r>
          <w:t>Washington</w:t>
        </w:r>
      </w:smartTag>
      <w:r>
        <w:t xml:space="preserve">, </w:t>
      </w:r>
      <w:smartTag w:uri="urn:schemas-microsoft-com:office:smarttags" w:element="State">
        <w:r>
          <w:t>DC</w:t>
        </w:r>
      </w:smartTag>
      <w:r>
        <w:t xml:space="preserve"> to </w:t>
      </w:r>
      <w:smartTag w:uri="urn:schemas-microsoft-com:office:smarttags" w:element="place">
        <w:smartTag w:uri="urn:schemas-microsoft-com:office:smarttags" w:element="City">
          <w:r>
            <w:t>Baltimore</w:t>
          </w:r>
        </w:smartTag>
      </w:smartTag>
      <w:r>
        <w:t>, could mark its beginning. However, the primary tool of the Information Age, a working electronic computer, did not become operational until the 1940s. While information-based workers accounted for just 10 percent of the American workforce at the beginning of the 20</w:t>
      </w:r>
      <w:r>
        <w:rPr>
          <w:vertAlign w:val="superscript"/>
        </w:rPr>
        <w:t>th</w:t>
      </w:r>
      <w:r>
        <w:t xml:space="preserve"> century, it involved at least 25% by 1950, and more than 50% by the end of the century (Toffler, 1981; Toffler &amp; Toffler, 1995). Even more importantly, there was no sector of American society or other industrialized</w:t>
      </w:r>
      <w:r w:rsidR="00812496">
        <w:t xml:space="preserve"> nations, from work to leisure, </w:t>
      </w:r>
      <w:r>
        <w:t xml:space="preserve">that was not impacted by computer technology in the 1990s. These same influences are now occurring throughout the world, especially in Asian countries such as </w:t>
      </w:r>
      <w:bookmarkStart w:id="0" w:name="_Hlk25920757"/>
      <w:smartTag w:uri="urn:schemas-microsoft-com:office:smarttags" w:element="country-region">
        <w:r>
          <w:t>China</w:t>
        </w:r>
      </w:smartTag>
      <w:r>
        <w:t xml:space="preserve">, </w:t>
      </w:r>
      <w:smartTag w:uri="urn:schemas-microsoft-com:office:smarttags" w:element="country-region">
        <w:r>
          <w:t>India</w:t>
        </w:r>
      </w:smartTag>
      <w:r>
        <w:t xml:space="preserve">, </w:t>
      </w:r>
      <w:smartTag w:uri="urn:schemas-microsoft-com:office:smarttags" w:element="country-region">
        <w:r>
          <w:t>Korea</w:t>
        </w:r>
      </w:smartTag>
      <w:r>
        <w:t xml:space="preserve">, and </w:t>
      </w:r>
      <w:smartTag w:uri="urn:schemas-microsoft-com:office:smarttags" w:element="place">
        <w:smartTag w:uri="urn:schemas-microsoft-com:office:smarttags" w:element="country-region">
          <w:r>
            <w:t>Singapore</w:t>
          </w:r>
        </w:smartTag>
      </w:smartTag>
      <w:bookmarkEnd w:id="0"/>
      <w:r>
        <w:t>.</w:t>
      </w:r>
    </w:p>
    <w:p w14:paraId="6A5755A5" w14:textId="77777777" w:rsidR="00373551" w:rsidRDefault="00373551">
      <w:pPr>
        <w:pStyle w:val="BodyTextIndent"/>
      </w:pPr>
      <w:bookmarkStart w:id="1" w:name="_Hlk25920147"/>
      <w:r>
        <w:t xml:space="preserve">A new technology, the development and </w:t>
      </w:r>
      <w:bookmarkEnd w:id="1"/>
      <w:r>
        <w:t>expansion of the Internet and other connectivity infrastructure, is having every bit as much impact on individual societies and the global economy as did the plow, moveable type, mass production, and the computer had in previous eras (Friedman, 2005). The first description of a technology to connect individual computers occurred in the 1960s with some initial development begun in the 1970s. However, it was the proliferation of desktop computers in the 1980s, coupled with the introduction of a graphics interface in the form of web browsers and increasing connectivity speeds at work sites in the early 1990s, that propelled the Internet’s exponential growth (</w:t>
      </w:r>
      <w:proofErr w:type="spellStart"/>
      <w:r>
        <w:t>Leiner</w:t>
      </w:r>
      <w:proofErr w:type="spellEnd"/>
      <w:r>
        <w:t xml:space="preserve"> et al., 2003). From a few million users worldwide in the mid-1990s, with home users connected to the Internet using baud rates considered painfully slow by modern standards, global Internet users exceeded 700 million in 2006 with more than 150 million (approximately 20%) residing in the United States (Associated Press, 2006; </w:t>
      </w:r>
      <w:proofErr w:type="spellStart"/>
      <w:r>
        <w:t>Comscore</w:t>
      </w:r>
      <w:proofErr w:type="spellEnd"/>
      <w:r>
        <w:t xml:space="preserve"> Networks, 2006). The Wall Street Journal Online (2006) cited a series of Harris polls showing that 70 percent of Americans could access the Internet from home, up from 16 percent in 1996. Other research conducted in 2006 found that more than 50 million households and 14 million businesses were using high-speed connections; nationwide, 79 percent of those with telephones and 93 percent of those with cable had access to high-speed connectivity (Wireline Competition Bureau, Industry Analysis and Technology Division, 2007). However, the fastest growth is in Asia; the number of Internet users in </w:t>
      </w:r>
      <w:smartTag w:uri="urn:schemas-microsoft-com:office:smarttags" w:element="place">
        <w:smartTag w:uri="urn:schemas-microsoft-com:office:smarttags" w:element="country-region">
          <w:r>
            <w:t>China</w:t>
          </w:r>
        </w:smartTag>
      </w:smartTag>
      <w:r>
        <w:t xml:space="preserve">, for example, increased 20% from 2005 to 2006 with the percentage of users with high-speed service increasing by 45 percent (Associated Press). </w:t>
      </w:r>
    </w:p>
    <w:p w14:paraId="337D832B" w14:textId="77777777" w:rsidR="00373551" w:rsidRDefault="00373551">
      <w:pPr>
        <w:pStyle w:val="BodyTextIndent"/>
      </w:pPr>
      <w:r>
        <w:t xml:space="preserve">Because the Conceptual Age can be considered an extension and elaboration of the Information Age, the following is a short overview of the trends and megatrends discussed in an earlier paper (Huitt, 1999a). </w:t>
      </w:r>
    </w:p>
    <w:p w14:paraId="711DD57F" w14:textId="77777777" w:rsidR="00373551" w:rsidRDefault="00373551">
      <w:pPr>
        <w:pStyle w:val="BodyTextIndent"/>
        <w:numPr>
          <w:ilvl w:val="0"/>
          <w:numId w:val="10"/>
        </w:numPr>
        <w:tabs>
          <w:tab w:val="clear" w:pos="360"/>
          <w:tab w:val="num" w:pos="1080"/>
        </w:tabs>
        <w:ind w:left="1080"/>
      </w:pPr>
      <w:r>
        <w:rPr>
          <w:i/>
        </w:rPr>
        <w:t>Access to technology used to acquire, process, store, retrieve and use information</w:t>
      </w:r>
      <w:r>
        <w:t>—</w:t>
      </w:r>
      <w:bookmarkStart w:id="2" w:name="_GoBack"/>
      <w:bookmarkEnd w:id="2"/>
      <w:r>
        <w:t>this technology was the computer beginning in the middle of the 21</w:t>
      </w:r>
      <w:r>
        <w:rPr>
          <w:vertAlign w:val="superscript"/>
        </w:rPr>
        <w:t>st</w:t>
      </w:r>
      <w:r>
        <w:t xml:space="preserve"> century; it is the Internet beginning in the 1990s.</w:t>
      </w:r>
    </w:p>
    <w:p w14:paraId="209450EA" w14:textId="43E1EC84" w:rsidR="00373551" w:rsidRDefault="00373551" w:rsidP="00484780">
      <w:pPr>
        <w:numPr>
          <w:ilvl w:val="0"/>
          <w:numId w:val="1"/>
        </w:numPr>
        <w:tabs>
          <w:tab w:val="clear" w:pos="360"/>
          <w:tab w:val="num" w:pos="1080"/>
        </w:tabs>
        <w:ind w:left="1080"/>
      </w:pPr>
      <w:r w:rsidRPr="00E741B0">
        <w:rPr>
          <w:i/>
        </w:rPr>
        <w:t>The speed with which new technology was invented and mass produced</w:t>
      </w:r>
      <w:r>
        <w:t>—increasing exponentially in the 20</w:t>
      </w:r>
      <w:r w:rsidRPr="00E741B0">
        <w:rPr>
          <w:vertAlign w:val="superscript"/>
        </w:rPr>
        <w:t>th</w:t>
      </w:r>
      <w:r>
        <w:t xml:space="preserve"> century (e.g., a working lifetime </w:t>
      </w:r>
      <w:r w:rsidR="00812496">
        <w:t xml:space="preserve">to move </w:t>
      </w:r>
      <w:r>
        <w:t xml:space="preserve">from the use of </w:t>
      </w:r>
    </w:p>
    <w:sectPr w:rsidR="00373551" w:rsidSect="00143AC3">
      <w:type w:val="continuous"/>
      <w:pgSz w:w="12240" w:h="15840"/>
      <w:pgMar w:top="1440" w:right="1440" w:bottom="1440" w:left="1440" w:header="720" w:footer="720" w:gutter="0"/>
      <w:cols w:sep="1"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9B0E632" w14:textId="77777777" w:rsidR="00B776AC" w:rsidRDefault="00B776AC">
      <w:r>
        <w:separator/>
      </w:r>
    </w:p>
  </w:endnote>
  <w:endnote w:type="continuationSeparator" w:id="0">
    <w:p w14:paraId="292A63E5" w14:textId="77777777" w:rsidR="00B776AC" w:rsidRDefault="00B77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imesNewRoman">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889702" w14:textId="77777777" w:rsidR="00B776AC" w:rsidRDefault="00B776AC">
      <w:r>
        <w:separator/>
      </w:r>
    </w:p>
  </w:footnote>
  <w:footnote w:type="continuationSeparator" w:id="0">
    <w:p w14:paraId="40C25847" w14:textId="77777777" w:rsidR="00B776AC" w:rsidRDefault="00B776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8D35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71E1E35"/>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2" w15:restartNumberingAfterBreak="0">
    <w:nsid w:val="1E931F3B"/>
    <w:multiLevelType w:val="singleLevel"/>
    <w:tmpl w:val="E302736A"/>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1EF5673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3F92D7F"/>
    <w:multiLevelType w:val="multilevel"/>
    <w:tmpl w:val="8AC2B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6542F7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2A2513DB"/>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33226E37"/>
    <w:multiLevelType w:val="singleLevel"/>
    <w:tmpl w:val="365CC8C2"/>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43B778FF"/>
    <w:multiLevelType w:val="singleLevel"/>
    <w:tmpl w:val="0409000B"/>
    <w:lvl w:ilvl="0">
      <w:start w:val="1"/>
      <w:numFmt w:val="bullet"/>
      <w:lvlText w:val=""/>
      <w:lvlJc w:val="left"/>
      <w:pPr>
        <w:tabs>
          <w:tab w:val="num" w:pos="360"/>
        </w:tabs>
        <w:ind w:left="360" w:hanging="360"/>
      </w:pPr>
      <w:rPr>
        <w:rFonts w:ascii="Wingdings" w:hAnsi="Wingdings" w:hint="default"/>
      </w:rPr>
    </w:lvl>
  </w:abstractNum>
  <w:abstractNum w:abstractNumId="9" w15:restartNumberingAfterBreak="0">
    <w:nsid w:val="4A903D06"/>
    <w:multiLevelType w:val="singleLevel"/>
    <w:tmpl w:val="0409000F"/>
    <w:lvl w:ilvl="0">
      <w:start w:val="1"/>
      <w:numFmt w:val="decimal"/>
      <w:lvlText w:val="%1."/>
      <w:lvlJc w:val="left"/>
      <w:pPr>
        <w:tabs>
          <w:tab w:val="num" w:pos="360"/>
        </w:tabs>
        <w:ind w:left="360" w:hanging="360"/>
      </w:pPr>
      <w:rPr>
        <w:rFonts w:hint="default"/>
      </w:rPr>
    </w:lvl>
  </w:abstractNum>
  <w:abstractNum w:abstractNumId="10" w15:restartNumberingAfterBreak="0">
    <w:nsid w:val="5EF072DF"/>
    <w:multiLevelType w:val="singleLevel"/>
    <w:tmpl w:val="0409000F"/>
    <w:lvl w:ilvl="0">
      <w:start w:val="1"/>
      <w:numFmt w:val="decimal"/>
      <w:lvlText w:val="%1."/>
      <w:lvlJc w:val="left"/>
      <w:pPr>
        <w:tabs>
          <w:tab w:val="num" w:pos="360"/>
        </w:tabs>
        <w:ind w:left="360" w:hanging="360"/>
      </w:pPr>
    </w:lvl>
  </w:abstractNum>
  <w:abstractNum w:abstractNumId="11" w15:restartNumberingAfterBreak="0">
    <w:nsid w:val="63F44F58"/>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12" w15:restartNumberingAfterBreak="0">
    <w:nsid w:val="73833F66"/>
    <w:multiLevelType w:val="singleLevel"/>
    <w:tmpl w:val="0409000B"/>
    <w:lvl w:ilvl="0">
      <w:start w:val="1"/>
      <w:numFmt w:val="bullet"/>
      <w:lvlText w:val=""/>
      <w:lvlJc w:val="left"/>
      <w:pPr>
        <w:tabs>
          <w:tab w:val="num" w:pos="360"/>
        </w:tabs>
        <w:ind w:left="360" w:hanging="360"/>
      </w:pPr>
      <w:rPr>
        <w:rFonts w:ascii="Wingdings" w:hAnsi="Wingdings" w:hint="default"/>
      </w:rPr>
    </w:lvl>
  </w:abstractNum>
  <w:num w:numId="1">
    <w:abstractNumId w:val="3"/>
  </w:num>
  <w:num w:numId="2">
    <w:abstractNumId w:val="5"/>
  </w:num>
  <w:num w:numId="3">
    <w:abstractNumId w:val="9"/>
  </w:num>
  <w:num w:numId="4">
    <w:abstractNumId w:val="0"/>
  </w:num>
  <w:num w:numId="5">
    <w:abstractNumId w:val="8"/>
  </w:num>
  <w:num w:numId="6">
    <w:abstractNumId w:val="1"/>
  </w:num>
  <w:num w:numId="7">
    <w:abstractNumId w:val="12"/>
  </w:num>
  <w:num w:numId="8">
    <w:abstractNumId w:val="11"/>
  </w:num>
  <w:num w:numId="9">
    <w:abstractNumId w:val="6"/>
  </w:num>
  <w:num w:numId="10">
    <w:abstractNumId w:val="7"/>
  </w:num>
  <w:num w:numId="11">
    <w:abstractNumId w:val="2"/>
  </w:num>
  <w:num w:numId="12">
    <w:abstractNumId w:val="1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3551"/>
    <w:rsid w:val="00062949"/>
    <w:rsid w:val="000862D8"/>
    <w:rsid w:val="000F7A02"/>
    <w:rsid w:val="00127B83"/>
    <w:rsid w:val="00143AC3"/>
    <w:rsid w:val="00253A32"/>
    <w:rsid w:val="003673F0"/>
    <w:rsid w:val="00373551"/>
    <w:rsid w:val="00484780"/>
    <w:rsid w:val="004B1735"/>
    <w:rsid w:val="004B34CE"/>
    <w:rsid w:val="00515D98"/>
    <w:rsid w:val="005A15A8"/>
    <w:rsid w:val="005D290E"/>
    <w:rsid w:val="0072650A"/>
    <w:rsid w:val="00812496"/>
    <w:rsid w:val="00866D7C"/>
    <w:rsid w:val="00967DBC"/>
    <w:rsid w:val="009E7651"/>
    <w:rsid w:val="00AA6007"/>
    <w:rsid w:val="00B776AC"/>
    <w:rsid w:val="00B961DA"/>
    <w:rsid w:val="00CE1E2A"/>
    <w:rsid w:val="00DA40B8"/>
    <w:rsid w:val="00DC03D9"/>
    <w:rsid w:val="00DC785F"/>
    <w:rsid w:val="00E03905"/>
    <w:rsid w:val="00E741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date"/>
  <w:shapeDefaults>
    <o:shapedefaults v:ext="edit" spidmax="1026"/>
    <o:shapelayout v:ext="edit">
      <o:idmap v:ext="edit" data="1"/>
    </o:shapelayout>
  </w:shapeDefaults>
  <w:decimalSymbol w:val="."/>
  <w:listSeparator w:val=","/>
  <w14:docId w14:val="595F562F"/>
  <w15:chartTrackingRefBased/>
  <w15:docId w15:val="{88AA0D5B-5053-4FAA-A3C0-DBCB2A87F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Pr>
      <w:color w:val="0000FF"/>
      <w:u w:val="single"/>
    </w:rPr>
  </w:style>
  <w:style w:type="character" w:styleId="Emphasis">
    <w:name w:val="Emphasis"/>
    <w:basedOn w:val="DefaultParagraphFont"/>
    <w:qFormat/>
    <w:rPr>
      <w:i/>
      <w:iCs/>
    </w:rPr>
  </w:style>
  <w:style w:type="paragraph" w:styleId="Title">
    <w:name w:val="Title"/>
    <w:basedOn w:val="Normal"/>
    <w:qFormat/>
    <w:pPr>
      <w:jc w:val="center"/>
    </w:pPr>
  </w:style>
  <w:style w:type="character" w:styleId="FollowedHyperlink">
    <w:name w:val="FollowedHyperlink"/>
    <w:basedOn w:val="DefaultParagraphFont"/>
    <w:rPr>
      <w:color w:val="800080"/>
      <w:u w:val="single"/>
    </w:rPr>
  </w:style>
  <w:style w:type="paragraph" w:styleId="BodyTextIndent">
    <w:name w:val="Body Text Indent"/>
    <w:basedOn w:val="Normal"/>
    <w:pPr>
      <w:ind w:firstLine="720"/>
    </w:pPr>
  </w:style>
  <w:style w:type="character" w:styleId="Strong">
    <w:name w:val="Strong"/>
    <w:basedOn w:val="DefaultParagraphFont"/>
    <w:qFormat/>
    <w:rPr>
      <w:b/>
    </w:rPr>
  </w:style>
  <w:style w:type="paragraph" w:customStyle="1" w:styleId="H2">
    <w:name w:val="H2"/>
    <w:basedOn w:val="Normal"/>
    <w:next w:val="Normal"/>
    <w:pPr>
      <w:keepNext/>
      <w:spacing w:before="100" w:after="100"/>
      <w:outlineLvl w:val="2"/>
    </w:pPr>
    <w:rPr>
      <w:b/>
      <w:snapToGrid w:val="0"/>
      <w:sz w:val="36"/>
    </w:rPr>
  </w:style>
  <w:style w:type="paragraph" w:styleId="NormalWeb">
    <w:name w:val="Normal (Web)"/>
    <w:basedOn w:val="Normal"/>
    <w:pPr>
      <w:spacing w:before="100" w:beforeAutospacing="1" w:after="100" w:afterAutospacing="1"/>
    </w:pPr>
    <w:rPr>
      <w:szCs w:val="24"/>
    </w:rPr>
  </w:style>
  <w:style w:type="paragraph" w:customStyle="1" w:styleId="Blockquote">
    <w:name w:val="Blockquote"/>
    <w:basedOn w:val="Normal"/>
    <w:pPr>
      <w:spacing w:before="100" w:after="100"/>
      <w:ind w:left="360" w:right="360"/>
    </w:pPr>
    <w:rPr>
      <w:snapToGrid w:val="0"/>
    </w:rPr>
  </w:style>
  <w:style w:type="paragraph" w:styleId="BodyTextIndent2">
    <w:name w:val="Body Text Indent 2"/>
    <w:basedOn w:val="Normal"/>
    <w:pPr>
      <w:spacing w:before="240"/>
      <w:ind w:left="720"/>
    </w:p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customStyle="1" w:styleId="Default">
    <w:name w:val="Default"/>
    <w:rPr>
      <w:rFonts w:ascii="TimesNewRoman" w:hAnsi="TimesNewRoman"/>
      <w:snapToGrid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1049</Words>
  <Characters>5983</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Success in the conceptual age: Another paradigm shift</vt:lpstr>
    </vt:vector>
  </TitlesOfParts>
  <Company>Valdosta State University</Company>
  <LinksUpToDate>false</LinksUpToDate>
  <CharactersWithSpaces>7018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Success in the conceptual age: Another paradigm shift</dc:title>
  <dc:subject/>
  <dc:creator>Huitt</dc:creator>
  <cp:keywords/>
  <dc:description/>
  <cp:lastModifiedBy>Dan Hoffman</cp:lastModifiedBy>
  <cp:revision>4</cp:revision>
  <cp:lastPrinted>2008-09-07T18:48:00Z</cp:lastPrinted>
  <dcterms:created xsi:type="dcterms:W3CDTF">2019-11-29T15:51:00Z</dcterms:created>
  <dcterms:modified xsi:type="dcterms:W3CDTF">2019-11-29T18:18:00Z</dcterms:modified>
</cp:coreProperties>
</file>